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53" w:rsidRDefault="00605E53" w:rsidP="00605E53">
      <w:pPr>
        <w:pStyle w:val="ConsPlusNormal"/>
      </w:pPr>
      <w:r>
        <w:rPr>
          <w:sz w:val="20"/>
        </w:rPr>
        <w:t xml:space="preserve">Документ предоставлен </w:t>
      </w:r>
      <w:hyperlink r:id="rId5" w:history="1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</w:p>
    <w:p w:rsidR="00605E53" w:rsidRDefault="00605E53">
      <w:pPr>
        <w:pStyle w:val="ConsPlusNormal"/>
        <w:jc w:val="right"/>
      </w:pPr>
      <w:r>
        <w:t>Утвержден</w:t>
      </w:r>
    </w:p>
    <w:p w:rsidR="00605E53" w:rsidRDefault="00605E53">
      <w:pPr>
        <w:pStyle w:val="ConsPlusNormal"/>
        <w:jc w:val="right"/>
      </w:pPr>
      <w:r>
        <w:t>Президиумом Верховного Суда</w:t>
      </w:r>
    </w:p>
    <w:p w:rsidR="00605E53" w:rsidRDefault="00605E53">
      <w:pPr>
        <w:pStyle w:val="ConsPlusNormal"/>
        <w:jc w:val="right"/>
      </w:pPr>
      <w:r>
        <w:t>Российской Федерации</w:t>
      </w:r>
    </w:p>
    <w:p w:rsidR="00605E53" w:rsidRDefault="00605E53">
      <w:pPr>
        <w:pStyle w:val="ConsPlusNormal"/>
        <w:jc w:val="right"/>
      </w:pPr>
      <w:r>
        <w:t>27 сентября 2017 г.</w:t>
      </w:r>
    </w:p>
    <w:p w:rsidR="00605E53" w:rsidRDefault="00605E53">
      <w:pPr>
        <w:pStyle w:val="ConsPlusNormal"/>
        <w:jc w:val="both"/>
        <w:outlineLvl w:val="0"/>
      </w:pPr>
    </w:p>
    <w:p w:rsidR="00605E53" w:rsidRDefault="00605E53">
      <w:pPr>
        <w:pStyle w:val="ConsPlusTitle"/>
        <w:jc w:val="center"/>
      </w:pPr>
      <w:r>
        <w:t>ОБЗОР</w:t>
      </w:r>
    </w:p>
    <w:p w:rsidR="00605E53" w:rsidRDefault="00605E53">
      <w:pPr>
        <w:pStyle w:val="ConsPlusTitle"/>
        <w:jc w:val="center"/>
      </w:pPr>
      <w:r>
        <w:t>СУДЕБНОЙ ПРАКТИКИ ПО ДЕЛАМ, СВЯЗАННЫМ С ЗАЩИТОЙ ПРАВ</w:t>
      </w:r>
    </w:p>
    <w:p w:rsidR="00605E53" w:rsidRDefault="00605E53">
      <w:pPr>
        <w:pStyle w:val="ConsPlusTitle"/>
        <w:jc w:val="center"/>
      </w:pPr>
      <w:r>
        <w:t>ПОТРЕБИТЕЛЕЙ ФИНАНСОВЫХ УСЛУГ</w:t>
      </w:r>
    </w:p>
    <w:p w:rsidR="00605E53" w:rsidRPr="00605E53" w:rsidRDefault="00605E53" w:rsidP="00605E53">
      <w:pPr>
        <w:pStyle w:val="ConsPlusTitle"/>
        <w:rPr>
          <w:b w:val="0"/>
        </w:rPr>
      </w:pPr>
      <w:r w:rsidRPr="00605E53">
        <w:rPr>
          <w:b w:val="0"/>
        </w:rPr>
        <w:t>…</w:t>
      </w:r>
    </w:p>
    <w:p w:rsidR="00605E53" w:rsidRDefault="00605E53" w:rsidP="00605E53">
      <w:pPr>
        <w:pStyle w:val="ConsPlusNormal"/>
        <w:ind w:firstLine="540"/>
        <w:jc w:val="both"/>
      </w:pPr>
      <w:r>
        <w:t xml:space="preserve">9. Начисление по истечении срока действия договора </w:t>
      </w:r>
      <w:proofErr w:type="spellStart"/>
      <w:r>
        <w:t>микрозайма</w:t>
      </w:r>
      <w:proofErr w:type="spellEnd"/>
      <w:r>
        <w:t xml:space="preserve"> процентов в том размере, который был установлен договором лишь на срок его действия, является неправомерным.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При заключении договора </w:t>
      </w:r>
      <w:proofErr w:type="spellStart"/>
      <w:r>
        <w:t>микрозайма</w:t>
      </w:r>
      <w:proofErr w:type="spellEnd"/>
      <w:r>
        <w:t xml:space="preserve"> до установления Банком России ограничений деятельности </w:t>
      </w:r>
      <w:proofErr w:type="spellStart"/>
      <w:r>
        <w:t>микрофинансовых</w:t>
      </w:r>
      <w:proofErr w:type="spellEnd"/>
      <w:r>
        <w:t xml:space="preserve"> организаций в части начисления процентов за пользование займом соответствующие проценты подлежат исчислению исходя из средневзвешенной процентной ставки по потребительским кредитам, установленным Банком России на момент заключения договора </w:t>
      </w:r>
      <w:proofErr w:type="spellStart"/>
      <w:r>
        <w:t>микрозайма</w:t>
      </w:r>
      <w:proofErr w:type="spellEnd"/>
      <w:r>
        <w:t>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proofErr w:type="spellStart"/>
      <w:r>
        <w:t>Микрофинансовая</w:t>
      </w:r>
      <w:proofErr w:type="spellEnd"/>
      <w:r>
        <w:t xml:space="preserve"> организация (далее - МФО) обратилась в суд с иском к </w:t>
      </w:r>
      <w:proofErr w:type="spellStart"/>
      <w:r>
        <w:t>К</w:t>
      </w:r>
      <w:proofErr w:type="spellEnd"/>
      <w:r>
        <w:t>. о взыскании суммы основного долга и процентов за пользование займом.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>Решением районного суда исковые требования удовлетворены частично. С К. в пользу МФО взысканы: основной долг, проценты за по</w:t>
      </w:r>
      <w:bookmarkStart w:id="0" w:name="_GoBack"/>
      <w:bookmarkEnd w:id="0"/>
      <w:r>
        <w:t>льзование займом, штраф за просрочку возврата займа и погашение процентов, расходы по оплате государственной пошлины.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Рассматривая </w:t>
      </w:r>
      <w:proofErr w:type="gramStart"/>
      <w:r>
        <w:t>дело и частично удовлетворяя</w:t>
      </w:r>
      <w:proofErr w:type="gramEnd"/>
      <w:r>
        <w:t xml:space="preserve"> заявленные требования, суд первой инстанции пришел к выводу о возможности применения к возникшим правоотношениям </w:t>
      </w:r>
      <w:hyperlink r:id="rId6" w:history="1">
        <w:r>
          <w:rPr>
            <w:color w:val="0000FF"/>
          </w:rPr>
          <w:t>ст. 333</w:t>
        </w:r>
      </w:hyperlink>
      <w:r>
        <w:t xml:space="preserve"> ГК РФ, снизив размер процентов за пользование займом, рассчитанный с учетом 730 процентов годовых (2 процента от суммы займа за каждый день просрочки).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Суд апелляционной инстанции изменил решение суда первой инстанции в части размера процентов за пользование займом, указав на то, что такие проценты не являются мерой ответственности за нарушение обязательства по возврату суммы займа и не подлежат уменьшению на основании </w:t>
      </w:r>
      <w:hyperlink r:id="rId7" w:history="1">
        <w:r>
          <w:rPr>
            <w:color w:val="0000FF"/>
          </w:rPr>
          <w:t>ст. 333</w:t>
        </w:r>
      </w:hyperlink>
      <w:r>
        <w:t xml:space="preserve"> ГК РФ.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>Судебная коллегия по гражданским делам Верховного Суда Российской Федерации не согласилась с вынесенным апелляционным определением по следующим основаниям.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ст. 421</w:t>
        </w:r>
      </w:hyperlink>
      <w:r>
        <w:t xml:space="preserve"> ГК РФ граждане и юридические лица свободны в заключении договора.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</w:t>
      </w:r>
      <w:proofErr w:type="spellStart"/>
      <w:r>
        <w:fldChar w:fldCharType="begin"/>
      </w:r>
      <w:r>
        <w:instrText xml:space="preserve"> HYPERLINK "consultantplus://offline/ref=3DC47242E5EB7C77A1D6B3FDF5A93ED05B5E4EC4D54884ACB891F9E3BEA291ED4B46B067BCA11A9DP5GEH"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</w:t>
      </w:r>
      <w:r w:rsidRPr="00574667">
        <w:rPr>
          <w:color w:val="0000FF"/>
        </w:rPr>
        <w:fldChar w:fldCharType="end"/>
      </w:r>
      <w:r>
        <w:t xml:space="preserve">, </w:t>
      </w:r>
      <w:hyperlink r:id="rId9" w:history="1">
        <w:r>
          <w:rPr>
            <w:color w:val="0000FF"/>
          </w:rPr>
          <w:t>4</w:t>
        </w:r>
      </w:hyperlink>
      <w:r>
        <w:t>).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п. 1 ст. 807</w:t>
        </w:r>
      </w:hyperlink>
      <w:r>
        <w:t xml:space="preserve">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proofErr w:type="gramEnd"/>
      <w:r>
        <w:t xml:space="preserve"> Договор займа считается заключенным с момента передачи денег или других вещей.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1" w:history="1">
        <w:r>
          <w:rPr>
            <w:color w:val="0000FF"/>
          </w:rPr>
          <w:t>п. 1 ст. 809</w:t>
        </w:r>
      </w:hyperlink>
      <w:r>
        <w:t xml:space="preserve">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Проценты, предусмотренные </w:t>
      </w:r>
      <w:hyperlink r:id="rId12" w:history="1">
        <w:r>
          <w:rPr>
            <w:color w:val="0000FF"/>
          </w:rPr>
          <w:t>ст. 809</w:t>
        </w:r>
      </w:hyperlink>
      <w:r>
        <w:t xml:space="preserve"> ГК РФ, являются платой за пользование денежными </w:t>
      </w:r>
      <w:r>
        <w:lastRenderedPageBreak/>
        <w:t>средствами и не могут быть снижены судом.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В связи с этим вывод суда апелляционной инстанции о том, что уменьшение этих процентов в порядке </w:t>
      </w:r>
      <w:hyperlink r:id="rId13" w:history="1">
        <w:r>
          <w:rPr>
            <w:color w:val="0000FF"/>
          </w:rPr>
          <w:t>ст. 333</w:t>
        </w:r>
      </w:hyperlink>
      <w:r>
        <w:t xml:space="preserve"> ГК РФ не допускается, признан Судебной коллегией правильным.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>Вместе с тем судом апелляционной инстанции не было учтено следующее.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>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 (</w:t>
      </w:r>
      <w:hyperlink r:id="rId14" w:history="1">
        <w:r>
          <w:rPr>
            <w:color w:val="0000FF"/>
          </w:rPr>
          <w:t>п. 3 ст. 807</w:t>
        </w:r>
      </w:hyperlink>
      <w:r>
        <w:t xml:space="preserve"> ГК РФ).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Порядок, размер и условия предоставления </w:t>
      </w:r>
      <w:proofErr w:type="spellStart"/>
      <w:r>
        <w:t>микрозаймов</w:t>
      </w:r>
      <w:proofErr w:type="spellEnd"/>
      <w:r>
        <w:t xml:space="preserve"> предусмотрены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 июля 2010 г.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(далее - Закон о </w:t>
      </w:r>
      <w:proofErr w:type="spellStart"/>
      <w:r>
        <w:t>микрофинансовой</w:t>
      </w:r>
      <w:proofErr w:type="spellEnd"/>
      <w:r>
        <w:t xml:space="preserve"> деятельности).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п. 4 ч. 1 ст. 2</w:t>
        </w:r>
      </w:hyperlink>
      <w:r>
        <w:t xml:space="preserve"> названного закона предусмотрено, что договор </w:t>
      </w:r>
      <w:proofErr w:type="spellStart"/>
      <w:r>
        <w:t>микрозайма</w:t>
      </w:r>
      <w:proofErr w:type="spellEnd"/>
      <w:r>
        <w:t xml:space="preserve"> - договор займа, сумма которого не превышает предельный размер обязательств заемщика перед займодавцем по основному долгу, установленный названным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Исходя из императивных требований к порядку и условиям заключения договора </w:t>
      </w:r>
      <w:proofErr w:type="spellStart"/>
      <w:r>
        <w:t>микрозайма</w:t>
      </w:r>
      <w:proofErr w:type="spellEnd"/>
      <w:r>
        <w:t xml:space="preserve">, предусмотренных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о </w:t>
      </w:r>
      <w:proofErr w:type="spellStart"/>
      <w:r>
        <w:t>микрофинансовой</w:t>
      </w:r>
      <w:proofErr w:type="spellEnd"/>
      <w:r>
        <w:t xml:space="preserve"> деятельности, денежные обязательства заемщика по договору </w:t>
      </w:r>
      <w:proofErr w:type="spellStart"/>
      <w:r>
        <w:t>микрозайма</w:t>
      </w:r>
      <w:proofErr w:type="spellEnd"/>
      <w:r>
        <w:t xml:space="preserve"> имеют срочный характер и ограничены установленными этим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предельными суммами основного долга, процентов за пользование </w:t>
      </w:r>
      <w:proofErr w:type="spellStart"/>
      <w:r>
        <w:t>микрозаймом</w:t>
      </w:r>
      <w:proofErr w:type="spellEnd"/>
      <w:r>
        <w:t xml:space="preserve"> и ответственности заемщика.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proofErr w:type="gramStart"/>
      <w:r>
        <w:t>Принцип свободы договора в сочетании с принципом добросовестного поведения участников гражданских правоотношений не исключает обязанности суда оценивать условия конкретного договора с точки зрения их разумности и справедливости, с учетом того, что условия договора займа, с одной стороны, не должны быть явно обременительными для заемщика, а с другой стороны, они должны учитывать интересы кредитора как стороны, права которой нарушены в связи</w:t>
      </w:r>
      <w:proofErr w:type="gramEnd"/>
      <w:r>
        <w:t xml:space="preserve"> с неисполнением обязательства.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Это положение имеет особое значение, когда возникший спор связан с деятельностью </w:t>
      </w:r>
      <w:proofErr w:type="spellStart"/>
      <w:r>
        <w:t>микрофинансовых</w:t>
      </w:r>
      <w:proofErr w:type="spellEnd"/>
      <w:r>
        <w:t xml:space="preserve"> организаций, которые предоставляют займы на небольшие суммы и на короткий срок, чем и обусловливается возможность установления повышенных процентов за пользование займом. Иное, то есть установление сверхвысоких процентов за длительный срок пользования </w:t>
      </w:r>
      <w:proofErr w:type="spellStart"/>
      <w:r>
        <w:t>микрозаймом</w:t>
      </w:r>
      <w:proofErr w:type="spellEnd"/>
      <w:r>
        <w:t xml:space="preserve">, выданным на короткий срок, приводило бы к искажению цели деятельности </w:t>
      </w:r>
      <w:proofErr w:type="spellStart"/>
      <w:r>
        <w:t>микрофинансовых</w:t>
      </w:r>
      <w:proofErr w:type="spellEnd"/>
      <w:r>
        <w:t xml:space="preserve"> организаций.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Взыскивая с К. в пользу МФО проценты за пользование </w:t>
      </w:r>
      <w:proofErr w:type="spellStart"/>
      <w:r>
        <w:t>микрозаймом</w:t>
      </w:r>
      <w:proofErr w:type="spellEnd"/>
      <w:r>
        <w:t xml:space="preserve"> в размере 730 процентов за период, составляющий 467 дней, суд апелляционной инстанции исходил из того, что эти проценты продолжают начисляться по истечении срока действия договора займа, составляющего 15 календарных дней.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Однако такой вывод суда апелляционной инстанции признан Судебной коллегией противоречащим существу законодательного регулирования договоров </w:t>
      </w:r>
      <w:proofErr w:type="spellStart"/>
      <w:r>
        <w:t>микрозайма</w:t>
      </w:r>
      <w:proofErr w:type="spellEnd"/>
      <w:r>
        <w:t xml:space="preserve">, поскольку фактически свидетельствует о бессрочном характере обязательств заемщика, вытекающих из такого договора, а также об отсутствии каких-либо ограничений размера процентов за пользование </w:t>
      </w:r>
      <w:proofErr w:type="spellStart"/>
      <w:r>
        <w:t>микрозаймом</w:t>
      </w:r>
      <w:proofErr w:type="spellEnd"/>
      <w:r>
        <w:t>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Согласно договору </w:t>
      </w:r>
      <w:proofErr w:type="spellStart"/>
      <w:r>
        <w:t>микрозайма</w:t>
      </w:r>
      <w:proofErr w:type="spellEnd"/>
      <w:r>
        <w:t>, заключенному между МФО и К. 27 июня 2014 г., срок его предоставления был определен в 15 календарных дней, то есть между сторонами был заключен договор краткосрочного займа сроком до 1 месяца.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Согласно п. 2.2.2 договора </w:t>
      </w:r>
      <w:proofErr w:type="spellStart"/>
      <w:r>
        <w:t>микрозайма</w:t>
      </w:r>
      <w:proofErr w:type="spellEnd"/>
      <w:r>
        <w:t xml:space="preserve"> заемщик обязуется по истечении срока, на который выдан </w:t>
      </w:r>
      <w:proofErr w:type="spellStart"/>
      <w:r>
        <w:t>микрозаем</w:t>
      </w:r>
      <w:proofErr w:type="spellEnd"/>
      <w:r>
        <w:t xml:space="preserve">, в полном объеме и своевременно вернуть полученную сумму </w:t>
      </w:r>
      <w:proofErr w:type="spellStart"/>
      <w:r>
        <w:t>микрозайма</w:t>
      </w:r>
      <w:proofErr w:type="spellEnd"/>
      <w:r>
        <w:t xml:space="preserve"> и уплатить займодавцу проценты за его использование в размере, указанном в п. 1.1 этого договора, а также в полном объеме оплатить штрафные санкции, предусмотренные этим договором.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 основании п. 5.2 договора </w:t>
      </w:r>
      <w:proofErr w:type="spellStart"/>
      <w:r>
        <w:t>микрозайма</w:t>
      </w:r>
      <w:proofErr w:type="spellEnd"/>
      <w:r>
        <w:t xml:space="preserve"> в случае нарушения срока возврата суммы </w:t>
      </w:r>
      <w:proofErr w:type="spellStart"/>
      <w:r>
        <w:t>микрозайма</w:t>
      </w:r>
      <w:proofErr w:type="spellEnd"/>
      <w:r>
        <w:t xml:space="preserve"> и начисленных процентов за его использование в сроки, установленные п. 1.1 указанного договора, более чем на 5 дней заемщик уплачивает займодавцу единовременный штраф в размере 700 руб. При этом заемщик не освобождается от обязательств по возврату денежной суммы, полученной в </w:t>
      </w:r>
      <w:proofErr w:type="spellStart"/>
      <w:r>
        <w:t>микрозаем</w:t>
      </w:r>
      <w:proofErr w:type="spellEnd"/>
      <w:r>
        <w:t>, и уплаты начисленных процентов за его</w:t>
      </w:r>
      <w:proofErr w:type="gramEnd"/>
      <w:r>
        <w:t xml:space="preserve"> использование согласно условиям договора </w:t>
      </w:r>
      <w:proofErr w:type="spellStart"/>
      <w:r>
        <w:t>микрозайма</w:t>
      </w:r>
      <w:proofErr w:type="spellEnd"/>
      <w:r>
        <w:t>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Однако суд апелляционной инстанции, взыскав в пользу МФО проценты за пользование займом в размере 730 процентов годовых за 467 дней, в то время как указанные проценты были предусмотрены договором </w:t>
      </w:r>
      <w:proofErr w:type="spellStart"/>
      <w:r>
        <w:t>микрозайма</w:t>
      </w:r>
      <w:proofErr w:type="spellEnd"/>
      <w:r>
        <w:t xml:space="preserve"> на срок 15 дней, этого не учел.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Пунктом 9 ч. 1 ст. 12</w:t>
        </w:r>
      </w:hyperlink>
      <w:r>
        <w:t xml:space="preserve"> Закона о </w:t>
      </w:r>
      <w:proofErr w:type="spellStart"/>
      <w:r>
        <w:t>микрофинансовой</w:t>
      </w:r>
      <w:proofErr w:type="spellEnd"/>
      <w:r>
        <w:t xml:space="preserve"> деятельности (в редакции Федерального закона от 29 декабря 2015 г. N 407-ФЗ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Федерации") </w:t>
      </w:r>
      <w:proofErr w:type="spellStart"/>
      <w:r>
        <w:t>микрофинансовая</w:t>
      </w:r>
      <w:proofErr w:type="spellEnd"/>
      <w:r>
        <w:t xml:space="preserve"> организация не вправе начислять заемщику - физическому лицу проценты и иные платежи по договору потребительского займа, срок возврата потребительского займа</w:t>
      </w:r>
      <w:proofErr w:type="gramEnd"/>
      <w:r>
        <w:t xml:space="preserve"> по которому не превышает одного года, за исключением неустойки (штрафа, пени) и платежей за услуги, оказываемые заемщику за отдельную плату, в </w:t>
      </w:r>
      <w:proofErr w:type="gramStart"/>
      <w:r>
        <w:t>случае</w:t>
      </w:r>
      <w:proofErr w:type="gramEnd"/>
      <w:r>
        <w:t xml:space="preserve">, если сумма начисленных по договору процентов и иных платежей достигнет четырехкратного размера суммы займа. Условие, содержащее данный запрет, должно быть указано </w:t>
      </w:r>
      <w:proofErr w:type="spellStart"/>
      <w:r>
        <w:t>микрофинансовой</w:t>
      </w:r>
      <w:proofErr w:type="spellEnd"/>
      <w:r>
        <w:t xml:space="preserve"> организацией на первой странице договора потребительского займа, срок возврата потребительского займа по которому не превышает одного года, перед таблицей, содержащей индивидуальные условия договора потребительского займа.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Соответствующие положения были внесены в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 июля 2010 г.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2015 г. N 407-ФЗ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и не действовали на момент заключения договора </w:t>
      </w:r>
      <w:proofErr w:type="spellStart"/>
      <w:r>
        <w:t>микрозайма</w:t>
      </w:r>
      <w:proofErr w:type="spellEnd"/>
      <w:r>
        <w:t xml:space="preserve"> от 27 июня 2014</w:t>
      </w:r>
      <w:proofErr w:type="gramEnd"/>
      <w:r>
        <w:t xml:space="preserve"> </w:t>
      </w:r>
      <w:proofErr w:type="gramStart"/>
      <w:r>
        <w:t>г</w:t>
      </w:r>
      <w:proofErr w:type="gramEnd"/>
      <w:r>
        <w:t>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r>
        <w:t xml:space="preserve">При таких обстоятельствах размер взыскиваемых процентов за пользование займом подлежал исчислению исходя из рассчитанной Банком России средневзвешенной процентной ставки по кредитам, предоставляемым кредитными организациями физическим лицам в рублях на срок свыше одного года, по состоянию на день заключения договора </w:t>
      </w:r>
      <w:proofErr w:type="spellStart"/>
      <w:r>
        <w:t>микрозайма</w:t>
      </w:r>
      <w:proofErr w:type="spellEnd"/>
      <w:r>
        <w:t>.</w:t>
      </w:r>
    </w:p>
    <w:p w:rsidR="00605E53" w:rsidRDefault="00605E53" w:rsidP="00605E5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Верховного Суда Российской Федерации от 22 августа 2017 г. N 7-КГ17-4</w:t>
      </w:r>
    </w:p>
    <w:p w:rsidR="00605E53" w:rsidRDefault="00605E53" w:rsidP="00605E53"/>
    <w:p w:rsidR="00B9665E" w:rsidRDefault="00B9665E"/>
    <w:sectPr w:rsidR="00B9665E" w:rsidSect="00605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53"/>
    <w:rsid w:val="003B71EE"/>
    <w:rsid w:val="00605E53"/>
    <w:rsid w:val="00B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47242E5EB7C77A1D6B3FDF5A93ED05B5E4EC4D54884ACB891F9E3BEA291ED4B46B067BCA11A9CP5G7H" TargetMode="External"/><Relationship Id="rId13" Type="http://schemas.openxmlformats.org/officeDocument/2006/relationships/hyperlink" Target="consultantplus://offline/ref=3DC47242E5EB7C77A1D6B3FDF5A93ED05B5E4EC4D54884ACB891F9E3BEA291ED4B46B067BCA514P9G7H" TargetMode="External"/><Relationship Id="rId18" Type="http://schemas.openxmlformats.org/officeDocument/2006/relationships/hyperlink" Target="consultantplus://offline/ref=3DC47242E5EB7C77A1D6B3FDF5A93ED05B5448C1D14A84ACB891F9E3BEPAG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C47242E5EB7C77A1D6B3FDF5A93ED05B5448C1D14A84ACB891F9E3BEPAG2H" TargetMode="External"/><Relationship Id="rId7" Type="http://schemas.openxmlformats.org/officeDocument/2006/relationships/hyperlink" Target="consultantplus://offline/ref=3DC47242E5EB7C77A1D6B3FDF5A93ED05B5E4EC4D54884ACB891F9E3BEA291ED4B46B067BCA514P9G7H" TargetMode="External"/><Relationship Id="rId12" Type="http://schemas.openxmlformats.org/officeDocument/2006/relationships/hyperlink" Target="consultantplus://offline/ref=3DC47242E5EB7C77A1D6B3FDF5A93ED05B5E4DC6D04284ACB891F9E3BEA291ED4B46B067BCA11790P5GBH" TargetMode="External"/><Relationship Id="rId17" Type="http://schemas.openxmlformats.org/officeDocument/2006/relationships/hyperlink" Target="consultantplus://offline/ref=3DC47242E5EB7C77A1D6B3FDF5A93ED05B5448C1D14A84ACB891F9E3BEPAG2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C47242E5EB7C77A1D6B3FDF5A93ED05B5448C1D14A84ACB891F9E3BEA291ED4B46B061PBGFH" TargetMode="External"/><Relationship Id="rId20" Type="http://schemas.openxmlformats.org/officeDocument/2006/relationships/hyperlink" Target="consultantplus://offline/ref=3DC47242E5EB7C77A1D6B3FDF5A93ED05B5448C1D14A84ACB891F9E3BEA291ED4B46B064BCPAG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47242E5EB7C77A1D6B3FDF5A93ED05B5E4EC4D54884ACB891F9E3BEA291ED4B46B067BCA514P9G7H" TargetMode="External"/><Relationship Id="rId11" Type="http://schemas.openxmlformats.org/officeDocument/2006/relationships/hyperlink" Target="consultantplus://offline/ref=3DC47242E5EB7C77A1D6B3FDF5A93ED05B5E4DC6D04284ACB891F9E3BEA291ED4B46B067BCA11790P5G8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C47242E5EB7C77A1D6B3FDF5A93ED05B5448C1D14A84ACB891F9E3BEPAG2H" TargetMode="External"/><Relationship Id="rId23" Type="http://schemas.openxmlformats.org/officeDocument/2006/relationships/hyperlink" Target="consultantplus://offline/ref=3DC47242E5EB7C77A1D6A0E0E4A93ED05C5748CCD74884ACB891F9E3BEPAG2H" TargetMode="External"/><Relationship Id="rId10" Type="http://schemas.openxmlformats.org/officeDocument/2006/relationships/hyperlink" Target="consultantplus://offline/ref=3DC47242E5EB7C77A1D6B3FDF5A93ED05B5E4DC6D04284ACB891F9E3BEA291ED4B46B067BCA11797P5G7H" TargetMode="External"/><Relationship Id="rId19" Type="http://schemas.openxmlformats.org/officeDocument/2006/relationships/hyperlink" Target="consultantplus://offline/ref=3DC47242E5EB7C77A1D6B3FDF5A93ED05B5448C1D14A84ACB891F9E3BEPA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47242E5EB7C77A1D6B3FDF5A93ED05B5E4EC4D54884ACB891F9E3BEA291ED4B46B067BCA11A9DP5GAH" TargetMode="External"/><Relationship Id="rId14" Type="http://schemas.openxmlformats.org/officeDocument/2006/relationships/hyperlink" Target="consultantplus://offline/ref=3DC47242E5EB7C77A1D6B3FDF5A93ED05B5E4DC6D04284ACB891F9E3BEA291ED4B46B067BEPAG8H" TargetMode="External"/><Relationship Id="rId22" Type="http://schemas.openxmlformats.org/officeDocument/2006/relationships/hyperlink" Target="consultantplus://offline/ref=3DC47242E5EB7C77A1D6B3FDF5A93ED05B5448C1D64E84ACB891F9E3BEA291ED4B46B067BCA01390P5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Зинина</dc:creator>
  <cp:lastModifiedBy>Светлана Зинина</cp:lastModifiedBy>
  <cp:revision>1</cp:revision>
  <dcterms:created xsi:type="dcterms:W3CDTF">2018-03-06T07:07:00Z</dcterms:created>
  <dcterms:modified xsi:type="dcterms:W3CDTF">2018-03-06T07:22:00Z</dcterms:modified>
</cp:coreProperties>
</file>